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0F0F0"/>
        <w:tblCellMar>
          <w:left w:w="0" w:type="dxa"/>
          <w:right w:w="0" w:type="dxa"/>
        </w:tblCellMar>
        <w:tblLook w:val="04A0" w:firstRow="1" w:lastRow="0" w:firstColumn="1" w:lastColumn="0" w:noHBand="0" w:noVBand="1"/>
      </w:tblPr>
      <w:tblGrid>
        <w:gridCol w:w="9026"/>
      </w:tblGrid>
      <w:tr w:rsidR="0006136B" w14:paraId="1403E90C" w14:textId="77777777" w:rsidTr="0006136B">
        <w:tc>
          <w:tcPr>
            <w:tcW w:w="0" w:type="auto"/>
            <w:shd w:val="clear" w:color="auto" w:fill="F0F0F0"/>
            <w:hideMark/>
          </w:tcPr>
          <w:tbl>
            <w:tblPr>
              <w:tblW w:w="5000" w:type="pct"/>
              <w:jc w:val="center"/>
              <w:tblCellMar>
                <w:left w:w="0" w:type="dxa"/>
                <w:right w:w="0" w:type="dxa"/>
              </w:tblCellMar>
              <w:tblLook w:val="04A0" w:firstRow="1" w:lastRow="0" w:firstColumn="1" w:lastColumn="0" w:noHBand="0" w:noVBand="1"/>
            </w:tblPr>
            <w:tblGrid>
              <w:gridCol w:w="9026"/>
            </w:tblGrid>
            <w:tr w:rsidR="0006136B" w14:paraId="149B68D3"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380"/>
                    <w:gridCol w:w="2520"/>
                    <w:gridCol w:w="5720"/>
                    <w:gridCol w:w="380"/>
                  </w:tblGrid>
                  <w:tr w:rsidR="0006136B" w14:paraId="7E2D70C0" w14:textId="77777777">
                    <w:trPr>
                      <w:trHeight w:val="400"/>
                      <w:jc w:val="center"/>
                    </w:trPr>
                    <w:tc>
                      <w:tcPr>
                        <w:tcW w:w="375" w:type="dxa"/>
                        <w:shd w:val="clear" w:color="auto" w:fill="001731"/>
                        <w:hideMark/>
                      </w:tcPr>
                      <w:p w14:paraId="4E4807C5" w14:textId="1E0A675B" w:rsidR="0006136B" w:rsidRDefault="0006136B">
                        <w:pPr>
                          <w:rPr>
                            <w:rFonts w:ascii="Arial" w:eastAsia="Times New Roman" w:hAnsi="Arial" w:cs="Arial"/>
                          </w:rPr>
                        </w:pPr>
                        <w:r>
                          <w:rPr>
                            <w:rFonts w:ascii="Arial" w:eastAsia="Times New Roman" w:hAnsi="Arial" w:cs="Arial"/>
                            <w:noProof/>
                          </w:rPr>
                          <w:drawing>
                            <wp:inline distT="0" distB="0" distL="0" distR="0" wp14:anchorId="22A020E0" wp14:editId="332B4532">
                              <wp:extent cx="241300" cy="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c>
                      <w:tcPr>
                        <w:tcW w:w="1140" w:type="dxa"/>
                        <w:vMerge w:val="restart"/>
                        <w:hideMark/>
                      </w:tcPr>
                      <w:p w14:paraId="3C5EF1DD" w14:textId="0B4F70E3" w:rsidR="0006136B" w:rsidRDefault="0006136B">
                        <w:pPr>
                          <w:rPr>
                            <w:rFonts w:ascii="Arial" w:eastAsia="Times New Roman" w:hAnsi="Arial" w:cs="Arial"/>
                          </w:rPr>
                        </w:pPr>
                        <w:r>
                          <w:rPr>
                            <w:rFonts w:ascii="Arial" w:eastAsia="Times New Roman" w:hAnsi="Arial" w:cs="Arial"/>
                            <w:noProof/>
                            <w:color w:val="000000"/>
                          </w:rPr>
                          <w:drawing>
                            <wp:inline distT="0" distB="0" distL="0" distR="0" wp14:anchorId="7419E825" wp14:editId="30C4DC98">
                              <wp:extent cx="1600200" cy="946150"/>
                              <wp:effectExtent l="0" t="0" r="0" b="6350"/>
                              <wp:docPr id="11" name="Picture 11" descr="Queen's Harbour Master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 Harbour Mas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46150"/>
                                      </a:xfrm>
                                      <a:prstGeom prst="rect">
                                        <a:avLst/>
                                      </a:prstGeom>
                                      <a:noFill/>
                                      <a:ln>
                                        <a:noFill/>
                                      </a:ln>
                                    </pic:spPr>
                                  </pic:pic>
                                </a:graphicData>
                              </a:graphic>
                            </wp:inline>
                          </w:drawing>
                        </w:r>
                      </w:p>
                    </w:tc>
                    <w:tc>
                      <w:tcPr>
                        <w:tcW w:w="5000" w:type="pct"/>
                        <w:shd w:val="clear" w:color="auto" w:fill="001731"/>
                        <w:vAlign w:val="center"/>
                        <w:hideMark/>
                      </w:tcPr>
                      <w:p w14:paraId="21716CA0" w14:textId="77777777" w:rsidR="0006136B" w:rsidRDefault="0006136B">
                        <w:pPr>
                          <w:pStyle w:val="NormalWeb"/>
                          <w:spacing w:before="150" w:beforeAutospacing="0" w:after="150" w:afterAutospacing="0" w:line="312" w:lineRule="auto"/>
                          <w:jc w:val="right"/>
                          <w:rPr>
                            <w:rFonts w:ascii="Arial" w:hAnsi="Arial" w:cs="Arial"/>
                            <w:color w:val="FFFFFF"/>
                            <w:sz w:val="21"/>
                            <w:szCs w:val="21"/>
                          </w:rPr>
                        </w:pPr>
                        <w:r>
                          <w:rPr>
                            <w:rFonts w:ascii="Arial" w:hAnsi="Arial" w:cs="Arial"/>
                            <w:color w:val="FFFFFF"/>
                            <w:sz w:val="21"/>
                            <w:szCs w:val="21"/>
                          </w:rPr>
                          <w:t> </w:t>
                        </w:r>
                      </w:p>
                    </w:tc>
                    <w:tc>
                      <w:tcPr>
                        <w:tcW w:w="375" w:type="dxa"/>
                        <w:shd w:val="clear" w:color="auto" w:fill="001731"/>
                        <w:hideMark/>
                      </w:tcPr>
                      <w:p w14:paraId="1760F897" w14:textId="5D3EE10B" w:rsidR="0006136B" w:rsidRDefault="0006136B">
                        <w:pPr>
                          <w:rPr>
                            <w:rFonts w:ascii="Arial" w:eastAsia="Times New Roman" w:hAnsi="Arial" w:cs="Arial"/>
                          </w:rPr>
                        </w:pPr>
                        <w:r>
                          <w:rPr>
                            <w:rFonts w:ascii="Arial" w:eastAsia="Times New Roman" w:hAnsi="Arial" w:cs="Arial"/>
                            <w:noProof/>
                          </w:rPr>
                          <w:drawing>
                            <wp:inline distT="0" distB="0" distL="0" distR="0" wp14:anchorId="20EBCB2E" wp14:editId="40502241">
                              <wp:extent cx="24130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r>
                  <w:tr w:rsidR="0006136B" w14:paraId="729B6760" w14:textId="77777777">
                    <w:trPr>
                      <w:jc w:val="center"/>
                    </w:trPr>
                    <w:tc>
                      <w:tcPr>
                        <w:tcW w:w="375" w:type="dxa"/>
                        <w:shd w:val="clear" w:color="auto" w:fill="FFFFFF"/>
                        <w:hideMark/>
                      </w:tcPr>
                      <w:p w14:paraId="304B62EC" w14:textId="6CBC33C9" w:rsidR="0006136B" w:rsidRDefault="0006136B">
                        <w:pPr>
                          <w:rPr>
                            <w:rFonts w:ascii="Arial" w:eastAsia="Times New Roman" w:hAnsi="Arial" w:cs="Arial"/>
                          </w:rPr>
                        </w:pPr>
                        <w:r>
                          <w:rPr>
                            <w:rFonts w:ascii="Arial" w:eastAsia="Times New Roman" w:hAnsi="Arial" w:cs="Arial"/>
                            <w:noProof/>
                          </w:rPr>
                          <w:drawing>
                            <wp:inline distT="0" distB="0" distL="0" distR="0" wp14:anchorId="10DE6161" wp14:editId="09BE8335">
                              <wp:extent cx="24130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c>
                      <w:tcPr>
                        <w:tcW w:w="0" w:type="auto"/>
                        <w:vMerge/>
                        <w:vAlign w:val="center"/>
                        <w:hideMark/>
                      </w:tcPr>
                      <w:p w14:paraId="571EC43C" w14:textId="77777777" w:rsidR="0006136B" w:rsidRDefault="0006136B">
                        <w:pPr>
                          <w:rPr>
                            <w:rFonts w:ascii="Arial" w:eastAsia="Times New Roman" w:hAnsi="Arial" w:cs="Arial"/>
                          </w:rPr>
                        </w:pPr>
                      </w:p>
                    </w:tc>
                    <w:tc>
                      <w:tcPr>
                        <w:tcW w:w="5000" w:type="pct"/>
                        <w:shd w:val="clear" w:color="auto" w:fill="FFFFFF"/>
                        <w:hideMark/>
                      </w:tcPr>
                      <w:p w14:paraId="525B1D18" w14:textId="77777777" w:rsidR="0006136B" w:rsidRDefault="0006136B">
                        <w:pPr>
                          <w:pStyle w:val="NormalWeb"/>
                          <w:spacing w:before="150" w:beforeAutospacing="0" w:after="0" w:afterAutospacing="0" w:line="312" w:lineRule="auto"/>
                          <w:jc w:val="right"/>
                          <w:rPr>
                            <w:rFonts w:ascii="Arial" w:hAnsi="Arial" w:cs="Arial"/>
                            <w:color w:val="001731"/>
                            <w:sz w:val="29"/>
                            <w:szCs w:val="29"/>
                          </w:rPr>
                        </w:pPr>
                        <w:r>
                          <w:rPr>
                            <w:rFonts w:ascii="Arial" w:hAnsi="Arial" w:cs="Arial"/>
                            <w:color w:val="001731"/>
                            <w:sz w:val="29"/>
                            <w:szCs w:val="29"/>
                          </w:rPr>
                          <w:t>QHM Portsmouth</w:t>
                        </w:r>
                      </w:p>
                    </w:tc>
                    <w:tc>
                      <w:tcPr>
                        <w:tcW w:w="375" w:type="dxa"/>
                        <w:shd w:val="clear" w:color="auto" w:fill="FFFFFF"/>
                        <w:hideMark/>
                      </w:tcPr>
                      <w:p w14:paraId="0C77FFC2" w14:textId="621BE0B7" w:rsidR="0006136B" w:rsidRDefault="0006136B">
                        <w:pPr>
                          <w:rPr>
                            <w:rFonts w:ascii="Arial" w:eastAsia="Times New Roman" w:hAnsi="Arial" w:cs="Arial"/>
                          </w:rPr>
                        </w:pPr>
                        <w:r>
                          <w:rPr>
                            <w:rFonts w:ascii="Arial" w:eastAsia="Times New Roman" w:hAnsi="Arial" w:cs="Arial"/>
                            <w:noProof/>
                          </w:rPr>
                          <w:drawing>
                            <wp:inline distT="0" distB="0" distL="0" distR="0" wp14:anchorId="3E4A8C85" wp14:editId="3B26FF45">
                              <wp:extent cx="24130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r>
                </w:tbl>
                <w:p w14:paraId="4ED9CD07" w14:textId="77777777" w:rsidR="0006136B" w:rsidRDefault="0006136B">
                  <w:pPr>
                    <w:jc w:val="center"/>
                    <w:rPr>
                      <w:rFonts w:ascii="Times New Roman" w:eastAsia="Times New Roman" w:hAnsi="Times New Roman" w:cs="Times New Roman"/>
                      <w:sz w:val="20"/>
                      <w:szCs w:val="20"/>
                    </w:rPr>
                  </w:pPr>
                </w:p>
              </w:tc>
            </w:tr>
          </w:tbl>
          <w:p w14:paraId="291133FB" w14:textId="77777777" w:rsidR="0006136B" w:rsidRDefault="0006136B">
            <w:pPr>
              <w:jc w:val="center"/>
              <w:rPr>
                <w:rFonts w:ascii="Times New Roman" w:eastAsia="Times New Roman" w:hAnsi="Times New Roman" w:cs="Times New Roman"/>
                <w:sz w:val="20"/>
                <w:szCs w:val="20"/>
              </w:rPr>
            </w:pPr>
          </w:p>
        </w:tc>
      </w:tr>
      <w:tr w:rsidR="0006136B" w14:paraId="2F8CAFC5" w14:textId="77777777" w:rsidTr="0006136B">
        <w:tc>
          <w:tcPr>
            <w:tcW w:w="0" w:type="auto"/>
            <w:shd w:val="clear" w:color="auto" w:fill="F0F0F0"/>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26"/>
            </w:tblGrid>
            <w:tr w:rsidR="0006136B" w14:paraId="24F54EF7" w14:textId="77777777">
              <w:trPr>
                <w:jc w:val="center"/>
              </w:trPr>
              <w:tc>
                <w:tcPr>
                  <w:tcW w:w="0" w:type="auto"/>
                  <w:shd w:val="clear" w:color="auto" w:fill="FFFFFF"/>
                  <w:hideMark/>
                </w:tcPr>
                <w:tbl>
                  <w:tblPr>
                    <w:tblW w:w="9000" w:type="dxa"/>
                    <w:tblCellMar>
                      <w:left w:w="0" w:type="dxa"/>
                      <w:right w:w="0" w:type="dxa"/>
                    </w:tblCellMar>
                    <w:tblLook w:val="04A0" w:firstRow="1" w:lastRow="0" w:firstColumn="1" w:lastColumn="0" w:noHBand="0" w:noVBand="1"/>
                  </w:tblPr>
                  <w:tblGrid>
                    <w:gridCol w:w="331"/>
                    <w:gridCol w:w="8364"/>
                    <w:gridCol w:w="331"/>
                  </w:tblGrid>
                  <w:tr w:rsidR="0006136B" w14:paraId="22789C67" w14:textId="77777777">
                    <w:tc>
                      <w:tcPr>
                        <w:tcW w:w="375" w:type="dxa"/>
                        <w:hideMark/>
                      </w:tcPr>
                      <w:p w14:paraId="7510220F" w14:textId="509D2CB0" w:rsidR="0006136B" w:rsidRDefault="0006136B">
                        <w:pPr>
                          <w:rPr>
                            <w:rFonts w:ascii="Arial" w:eastAsia="Times New Roman" w:hAnsi="Arial" w:cs="Arial"/>
                          </w:rPr>
                        </w:pPr>
                        <w:r>
                          <w:rPr>
                            <w:rFonts w:ascii="Arial" w:eastAsia="Times New Roman" w:hAnsi="Arial" w:cs="Arial"/>
                            <w:noProof/>
                          </w:rPr>
                          <w:drawing>
                            <wp:inline distT="0" distB="0" distL="0" distR="0" wp14:anchorId="4CFDB2B1" wp14:editId="00C2EA25">
                              <wp:extent cx="24130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c>
                      <w:tcPr>
                        <w:tcW w:w="5000" w:type="pct"/>
                        <w:hideMark/>
                      </w:tcPr>
                      <w:tbl>
                        <w:tblPr>
                          <w:tblW w:w="5000" w:type="pct"/>
                          <w:tblCellMar>
                            <w:left w:w="0" w:type="dxa"/>
                            <w:right w:w="0" w:type="dxa"/>
                          </w:tblCellMar>
                          <w:tblLook w:val="04A0" w:firstRow="1" w:lastRow="0" w:firstColumn="1" w:lastColumn="0" w:noHBand="0" w:noVBand="1"/>
                        </w:tblPr>
                        <w:tblGrid>
                          <w:gridCol w:w="8364"/>
                        </w:tblGrid>
                        <w:tr w:rsidR="0006136B" w14:paraId="64302904" w14:textId="77777777">
                          <w:tc>
                            <w:tcPr>
                              <w:tcW w:w="0" w:type="auto"/>
                              <w:hideMark/>
                            </w:tcPr>
                            <w:p w14:paraId="06F79C34" w14:textId="310274A6" w:rsidR="0006136B" w:rsidRDefault="0006136B">
                              <w:pPr>
                                <w:jc w:val="center"/>
                                <w:rPr>
                                  <w:rFonts w:ascii="Arial" w:eastAsia="Times New Roman" w:hAnsi="Arial" w:cs="Arial"/>
                                </w:rPr>
                              </w:pPr>
                              <w:r>
                                <w:rPr>
                                  <w:rFonts w:ascii="Arial" w:eastAsia="Times New Roman" w:hAnsi="Arial" w:cs="Arial"/>
                                  <w:noProof/>
                                </w:rPr>
                                <w:drawing>
                                  <wp:inline distT="0" distB="0" distL="0" distR="0" wp14:anchorId="3BBD0B1D" wp14:editId="6743D9AB">
                                    <wp:extent cx="6350" cy="336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336550"/>
                                            </a:xfrm>
                                            <a:prstGeom prst="rect">
                                              <a:avLst/>
                                            </a:prstGeom>
                                            <a:noFill/>
                                            <a:ln>
                                              <a:noFill/>
                                            </a:ln>
                                          </pic:spPr>
                                        </pic:pic>
                                      </a:graphicData>
                                    </a:graphic>
                                  </wp:inline>
                                </w:drawing>
                              </w:r>
                            </w:p>
                          </w:tc>
                        </w:tr>
                        <w:tr w:rsidR="0006136B" w14:paraId="401BC4A6" w14:textId="77777777">
                          <w:tc>
                            <w:tcPr>
                              <w:tcW w:w="0" w:type="auto"/>
                              <w:hideMark/>
                            </w:tcPr>
                            <w:p w14:paraId="26A26C26" w14:textId="77777777" w:rsidR="0006136B" w:rsidRDefault="0006136B">
                              <w:pPr>
                                <w:spacing w:line="312" w:lineRule="auto"/>
                                <w:jc w:val="center"/>
                                <w:rPr>
                                  <w:rFonts w:ascii="Arial" w:eastAsia="Times New Roman" w:hAnsi="Arial" w:cs="Arial"/>
                                  <w:caps/>
                                  <w:color w:val="3173B5"/>
                                  <w:sz w:val="24"/>
                                  <w:szCs w:val="24"/>
                                </w:rPr>
                              </w:pPr>
                              <w:r>
                                <w:rPr>
                                  <w:rFonts w:ascii="Arial" w:eastAsia="Times New Roman" w:hAnsi="Arial" w:cs="Arial"/>
                                  <w:caps/>
                                  <w:color w:val="3173B5"/>
                                  <w:sz w:val="24"/>
                                  <w:szCs w:val="24"/>
                                </w:rPr>
                                <w:t xml:space="preserve">Queen's Harbour Master Portsmouth </w:t>
                              </w:r>
                            </w:p>
                          </w:tc>
                        </w:tr>
                        <w:tr w:rsidR="0006136B" w14:paraId="202392CD" w14:textId="77777777">
                          <w:tc>
                            <w:tcPr>
                              <w:tcW w:w="3500" w:type="pct"/>
                              <w:hideMark/>
                            </w:tcPr>
                            <w:p w14:paraId="0453DBCA" w14:textId="77777777" w:rsidR="0006136B" w:rsidRDefault="0006136B">
                              <w:pPr>
                                <w:spacing w:line="312" w:lineRule="auto"/>
                                <w:jc w:val="center"/>
                                <w:rPr>
                                  <w:rFonts w:ascii="Arial" w:eastAsia="Times New Roman" w:hAnsi="Arial" w:cs="Arial"/>
                                  <w:color w:val="3173B5"/>
                                  <w:sz w:val="30"/>
                                  <w:szCs w:val="30"/>
                                </w:rPr>
                              </w:pPr>
                              <w:r>
                                <w:rPr>
                                  <w:rFonts w:ascii="Arial" w:eastAsia="Times New Roman" w:hAnsi="Arial" w:cs="Arial"/>
                                  <w:color w:val="3173B5"/>
                                  <w:sz w:val="30"/>
                                  <w:szCs w:val="30"/>
                                </w:rPr>
                                <w:t xml:space="preserve">PORTSMOUTH HARBOUR ENTRANCE - APPROACH CHANNEL, SMALL BOAT CHANNEL, SWASHWAY AND INNER SWASHWAY </w:t>
                              </w:r>
                            </w:p>
                          </w:tc>
                        </w:tr>
                        <w:tr w:rsidR="0006136B" w14:paraId="5A5408A5" w14:textId="77777777">
                          <w:tc>
                            <w:tcPr>
                              <w:tcW w:w="0" w:type="auto"/>
                              <w:hideMark/>
                            </w:tcPr>
                            <w:p w14:paraId="0FC381B7" w14:textId="7AC4D838" w:rsidR="0006136B" w:rsidRDefault="0006136B">
                              <w:pPr>
                                <w:jc w:val="center"/>
                                <w:rPr>
                                  <w:rFonts w:ascii="Arial" w:eastAsia="Times New Roman" w:hAnsi="Arial" w:cs="Arial"/>
                                </w:rPr>
                              </w:pPr>
                              <w:r>
                                <w:rPr>
                                  <w:rFonts w:ascii="Arial" w:eastAsia="Times New Roman" w:hAnsi="Arial" w:cs="Arial"/>
                                  <w:noProof/>
                                </w:rPr>
                                <w:drawing>
                                  <wp:inline distT="0" distB="0" distL="0" distR="0" wp14:anchorId="5E603711" wp14:editId="5B30D0BD">
                                    <wp:extent cx="63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06136B" w14:paraId="7A3A912D" w14:textId="77777777">
                          <w:tc>
                            <w:tcPr>
                              <w:tcW w:w="0" w:type="auto"/>
                              <w:hideMark/>
                            </w:tcPr>
                            <w:p w14:paraId="64DC8080" w14:textId="77777777" w:rsidR="0006136B" w:rsidRDefault="0006136B">
                              <w:pPr>
                                <w:spacing w:line="312" w:lineRule="auto"/>
                                <w:jc w:val="center"/>
                                <w:rPr>
                                  <w:rFonts w:ascii="Arial" w:eastAsia="Times New Roman" w:hAnsi="Arial" w:cs="Arial"/>
                                  <w:color w:val="3173B5"/>
                                  <w:sz w:val="24"/>
                                  <w:szCs w:val="24"/>
                                </w:rPr>
                              </w:pPr>
                              <w:r>
                                <w:rPr>
                                  <w:rFonts w:ascii="Arial" w:eastAsia="Times New Roman" w:hAnsi="Arial" w:cs="Arial"/>
                                  <w:color w:val="3173B5"/>
                                  <w:sz w:val="24"/>
                                  <w:szCs w:val="24"/>
                                </w:rPr>
                                <w:t xml:space="preserve">DIRECTION No 2/21 </w:t>
                              </w:r>
                            </w:p>
                          </w:tc>
                        </w:tr>
                        <w:tr w:rsidR="0006136B" w14:paraId="44CFA348" w14:textId="77777777">
                          <w:tc>
                            <w:tcPr>
                              <w:tcW w:w="0" w:type="auto"/>
                              <w:hideMark/>
                            </w:tcPr>
                            <w:p w14:paraId="33E07405" w14:textId="77777777" w:rsidR="0006136B" w:rsidRDefault="0006136B">
                              <w:pPr>
                                <w:rPr>
                                  <w:rFonts w:ascii="Arial" w:eastAsia="Times New Roman" w:hAnsi="Arial" w:cs="Arial"/>
                                  <w:color w:val="3173B5"/>
                                  <w:sz w:val="24"/>
                                  <w:szCs w:val="24"/>
                                </w:rPr>
                              </w:pPr>
                            </w:p>
                          </w:tc>
                        </w:tr>
                        <w:tr w:rsidR="0006136B" w14:paraId="637BE444" w14:textId="77777777">
                          <w:tc>
                            <w:tcPr>
                              <w:tcW w:w="0" w:type="auto"/>
                              <w:hideMark/>
                            </w:tcPr>
                            <w:p w14:paraId="6CB7D539" w14:textId="42E8CD0E" w:rsidR="0006136B" w:rsidRDefault="0006136B">
                              <w:pPr>
                                <w:jc w:val="center"/>
                                <w:rPr>
                                  <w:rFonts w:ascii="Arial" w:eastAsia="Times New Roman" w:hAnsi="Arial" w:cs="Arial"/>
                                </w:rPr>
                              </w:pPr>
                              <w:r>
                                <w:rPr>
                                  <w:rFonts w:ascii="Arial" w:eastAsia="Times New Roman" w:hAnsi="Arial" w:cs="Arial"/>
                                  <w:noProof/>
                                </w:rPr>
                                <w:drawing>
                                  <wp:inline distT="0" distB="0" distL="0" distR="0" wp14:anchorId="2C2D77B8" wp14:editId="464E3F8D">
                                    <wp:extent cx="666750" cy="527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527050"/>
                                            </a:xfrm>
                                            <a:prstGeom prst="rect">
                                              <a:avLst/>
                                            </a:prstGeom>
                                            <a:noFill/>
                                            <a:ln>
                                              <a:noFill/>
                                            </a:ln>
                                          </pic:spPr>
                                        </pic:pic>
                                      </a:graphicData>
                                    </a:graphic>
                                  </wp:inline>
                                </w:drawing>
                              </w:r>
                            </w:p>
                          </w:tc>
                        </w:tr>
                        <w:tr w:rsidR="0006136B" w14:paraId="574CECBF" w14:textId="77777777">
                          <w:tc>
                            <w:tcPr>
                              <w:tcW w:w="0" w:type="auto"/>
                              <w:hideMark/>
                            </w:tcPr>
                            <w:p w14:paraId="22F0E896" w14:textId="77777777" w:rsidR="0006136B" w:rsidRDefault="0006136B">
                              <w:pPr>
                                <w:pStyle w:val="NormalWeb"/>
                                <w:spacing w:line="312" w:lineRule="auto"/>
                                <w:rPr>
                                  <w:rFonts w:ascii="Arial" w:hAnsi="Arial" w:cs="Arial"/>
                                  <w:color w:val="000000"/>
                                  <w:sz w:val="23"/>
                                  <w:szCs w:val="23"/>
                                </w:rPr>
                              </w:pPr>
                              <w:r>
                                <w:rPr>
                                  <w:rStyle w:val="Strong"/>
                                  <w:rFonts w:ascii="Arial" w:hAnsi="Arial" w:cs="Arial"/>
                                  <w:color w:val="000000"/>
                                  <w:sz w:val="23"/>
                                  <w:szCs w:val="23"/>
                                </w:rPr>
                                <w:t>1. Mariners are advised that the Queen’s Harbour Master has made the following General Direction under the Dockyard Port of Portsmouth Order 2005;</w:t>
                              </w:r>
                              <w:r>
                                <w:rPr>
                                  <w:rFonts w:ascii="Arial" w:hAnsi="Arial" w:cs="Arial"/>
                                  <w:color w:val="000000"/>
                                  <w:sz w:val="23"/>
                                  <w:szCs w:val="23"/>
                                </w:rPr>
                                <w:t xml:space="preserve"> that the Portsmouth Harbour entrance and main approach channel is considered a narrow channel in accordance with the International Regulations for Preventing Collisions and Sea (COLREGS) and as such, all mariners are reminded that in accordance with Rule 9(b) </w:t>
                              </w:r>
                              <w:r>
                                <w:rPr>
                                  <w:rStyle w:val="Emphasis"/>
                                  <w:rFonts w:ascii="Arial" w:hAnsi="Arial" w:cs="Arial"/>
                                  <w:color w:val="000000"/>
                                  <w:sz w:val="23"/>
                                  <w:szCs w:val="23"/>
                                </w:rPr>
                                <w:t>“a vessel of less than 20 metres in length or a sailing vessel shall not impede the passage of a vessel that can safely navigate only within a narrow channel or fairway”.</w:t>
                              </w:r>
                            </w:p>
                            <w:p w14:paraId="0F177AD7"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t xml:space="preserve">2. </w:t>
                              </w:r>
                              <w:r>
                                <w:rPr>
                                  <w:rFonts w:ascii="Arial" w:hAnsi="Arial" w:cs="Arial"/>
                                  <w:color w:val="000000"/>
                                  <w:sz w:val="23"/>
                                  <w:szCs w:val="23"/>
                                  <w:u w:val="single"/>
                                </w:rPr>
                                <w:t>Approach Channel</w:t>
                              </w:r>
                              <w:r>
                                <w:rPr>
                                  <w:rFonts w:ascii="Arial" w:hAnsi="Arial" w:cs="Arial"/>
                                  <w:color w:val="000000"/>
                                  <w:sz w:val="23"/>
                                  <w:szCs w:val="23"/>
                                </w:rPr>
                                <w:t>. The dredged limits of the approach channel from the harbour entrance to Outer Spit Buoy are marked by buoys, the positions of which are shown on chart BA 2625. Within the harbour entrance the main channel is bounded on both sides by the limits of the dredged channel as shown on chart BA 2629.</w:t>
                              </w:r>
                            </w:p>
                            <w:p w14:paraId="12D0545D"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t xml:space="preserve">3. </w:t>
                              </w:r>
                              <w:r>
                                <w:rPr>
                                  <w:rFonts w:ascii="Arial" w:hAnsi="Arial" w:cs="Arial"/>
                                  <w:color w:val="000000"/>
                                  <w:sz w:val="23"/>
                                  <w:szCs w:val="23"/>
                                  <w:u w:val="single"/>
                                </w:rPr>
                                <w:t>Small Boat Channel</w:t>
                              </w:r>
                              <w:r>
                                <w:rPr>
                                  <w:rFonts w:ascii="Arial" w:hAnsi="Arial" w:cs="Arial"/>
                                  <w:color w:val="000000"/>
                                  <w:sz w:val="23"/>
                                  <w:szCs w:val="23"/>
                                </w:rPr>
                                <w:t>. To assist the safe passage of small craft to and from Portsmouth Harbour a Small Boat Channel for vessels less than 20 metres in length including Personal Watercraft (PWC) (hereafter referred to as small boats) has been created on the western side of the harbour entrance. The 50-metre-wide Small Boat Channel is shown on Admiralty charts. Its northern and southern extremities are at Ballast Pile (50 47.62N 001 06.83W) and No 4 Bar Buoy (50 46.97N 001 06.48W) respectively. Small boat skippers are reminded that they can be difficult to see and the harbour entrance is a blind bend to larger vessels and traffic leaving the camber.</w:t>
                              </w:r>
                            </w:p>
                            <w:p w14:paraId="5D41277C"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lastRenderedPageBreak/>
                                <w:t>The following rules apply:</w:t>
                              </w:r>
                            </w:p>
                            <w:p w14:paraId="2794A6A0"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t xml:space="preserve">a. </w:t>
                              </w:r>
                              <w:proofErr w:type="gramStart"/>
                              <w:r>
                                <w:rPr>
                                  <w:rFonts w:ascii="Arial" w:hAnsi="Arial" w:cs="Arial"/>
                                  <w:color w:val="000000"/>
                                  <w:sz w:val="23"/>
                                  <w:szCs w:val="23"/>
                                </w:rPr>
                                <w:t>Small</w:t>
                              </w:r>
                              <w:proofErr w:type="gramEnd"/>
                              <w:r>
                                <w:rPr>
                                  <w:rFonts w:ascii="Arial" w:hAnsi="Arial" w:cs="Arial"/>
                                  <w:color w:val="000000"/>
                                  <w:sz w:val="23"/>
                                  <w:szCs w:val="23"/>
                                </w:rPr>
                                <w:t xml:space="preserve"> boats must enter and leave the harbour through the Small Boat Channel.</w:t>
                              </w:r>
                            </w:p>
                            <w:p w14:paraId="0CC91528"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t>b. All craft fitted with engines, when navigating in the approach channel to Portsmouth Harbour, are to proceed under power between No 4 Bar Buoy and the Ballast Pile.</w:t>
                              </w:r>
                            </w:p>
                            <w:p w14:paraId="193D4885"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t>c. Vessels greater than 20 metres in length may only use the Small Boat Channel with the express permission of QHM on VHF Channel 11. Permission will only be granted if traffic levels are sufficiently low to allow safe passage for all vessels using the Small Boat Channel.</w:t>
                              </w:r>
                            </w:p>
                            <w:p w14:paraId="5F13D781"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t>d. The Small Boat Channel may only be entered or exited by vessels approaching from the east at its northern or southern ends.</w:t>
                              </w:r>
                            </w:p>
                            <w:p w14:paraId="173F4AC1"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t xml:space="preserve">e. A traffic pattern is established around Ballast Pile; small boats entering the harbour are to pass </w:t>
                              </w:r>
                              <w:r>
                                <w:rPr>
                                  <w:rFonts w:ascii="Arial" w:hAnsi="Arial" w:cs="Arial"/>
                                  <w:color w:val="000000"/>
                                  <w:sz w:val="23"/>
                                  <w:szCs w:val="23"/>
                                  <w:u w:val="single"/>
                                </w:rPr>
                                <w:t>close</w:t>
                              </w:r>
                              <w:r>
                                <w:rPr>
                                  <w:rFonts w:ascii="Arial" w:hAnsi="Arial" w:cs="Arial"/>
                                  <w:color w:val="000000"/>
                                  <w:sz w:val="23"/>
                                  <w:szCs w:val="23"/>
                                </w:rPr>
                                <w:t xml:space="preserve"> to the east of Ballast Pile and those exiting </w:t>
                              </w:r>
                              <w:r>
                                <w:rPr>
                                  <w:rFonts w:ascii="Arial" w:hAnsi="Arial" w:cs="Arial"/>
                                  <w:color w:val="000000"/>
                                  <w:sz w:val="23"/>
                                  <w:szCs w:val="23"/>
                                  <w:u w:val="single"/>
                                </w:rPr>
                                <w:t>close</w:t>
                              </w:r>
                              <w:r>
                                <w:rPr>
                                  <w:rFonts w:ascii="Arial" w:hAnsi="Arial" w:cs="Arial"/>
                                  <w:color w:val="000000"/>
                                  <w:sz w:val="23"/>
                                  <w:szCs w:val="23"/>
                                </w:rPr>
                                <w:t xml:space="preserve"> to the west.</w:t>
                              </w:r>
                            </w:p>
                            <w:p w14:paraId="72238E40"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t xml:space="preserve">f. </w:t>
                              </w:r>
                              <w:proofErr w:type="gramStart"/>
                              <w:r>
                                <w:rPr>
                                  <w:rFonts w:ascii="Arial" w:hAnsi="Arial" w:cs="Arial"/>
                                  <w:color w:val="000000"/>
                                  <w:sz w:val="23"/>
                                  <w:szCs w:val="23"/>
                                </w:rPr>
                                <w:t>Small</w:t>
                              </w:r>
                              <w:proofErr w:type="gramEnd"/>
                              <w:r>
                                <w:rPr>
                                  <w:rFonts w:ascii="Arial" w:hAnsi="Arial" w:cs="Arial"/>
                                  <w:color w:val="000000"/>
                                  <w:sz w:val="23"/>
                                  <w:szCs w:val="23"/>
                                </w:rPr>
                                <w:t xml:space="preserve"> boats crossing the harbour entrance may only do so to the </w:t>
                              </w:r>
                              <w:r>
                                <w:rPr>
                                  <w:rFonts w:ascii="Arial" w:hAnsi="Arial" w:cs="Arial"/>
                                  <w:color w:val="000000"/>
                                  <w:sz w:val="23"/>
                                  <w:szCs w:val="23"/>
                                  <w:u w:val="single"/>
                                </w:rPr>
                                <w:t>north</w:t>
                              </w:r>
                              <w:r>
                                <w:rPr>
                                  <w:rFonts w:ascii="Arial" w:hAnsi="Arial" w:cs="Arial"/>
                                  <w:color w:val="000000"/>
                                  <w:sz w:val="23"/>
                                  <w:szCs w:val="23"/>
                                </w:rPr>
                                <w:t xml:space="preserve"> of Ballast Pile and may not cross the main channel until south of 4 Bar Buoy.</w:t>
                              </w:r>
                            </w:p>
                            <w:p w14:paraId="591519AC"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t xml:space="preserve">g. </w:t>
                              </w:r>
                              <w:proofErr w:type="gramStart"/>
                              <w:r>
                                <w:rPr>
                                  <w:rFonts w:ascii="Arial" w:hAnsi="Arial" w:cs="Arial"/>
                                  <w:color w:val="000000"/>
                                  <w:sz w:val="23"/>
                                  <w:szCs w:val="23"/>
                                </w:rPr>
                                <w:t>Small</w:t>
                              </w:r>
                              <w:proofErr w:type="gramEnd"/>
                              <w:r>
                                <w:rPr>
                                  <w:rFonts w:ascii="Arial" w:hAnsi="Arial" w:cs="Arial"/>
                                  <w:color w:val="000000"/>
                                  <w:sz w:val="23"/>
                                  <w:szCs w:val="23"/>
                                </w:rPr>
                                <w:t xml:space="preserve"> boats, save those listed at paragraph 5, are not to loiter in the Small Boat Channel.</w:t>
                              </w:r>
                            </w:p>
                            <w:p w14:paraId="1986AF08"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t xml:space="preserve">h. </w:t>
                              </w:r>
                              <w:proofErr w:type="gramStart"/>
                              <w:r>
                                <w:rPr>
                                  <w:rFonts w:ascii="Arial" w:hAnsi="Arial" w:cs="Arial"/>
                                  <w:color w:val="000000"/>
                                  <w:sz w:val="23"/>
                                  <w:szCs w:val="23"/>
                                </w:rPr>
                                <w:t>Small</w:t>
                              </w:r>
                              <w:proofErr w:type="gramEnd"/>
                              <w:r>
                                <w:rPr>
                                  <w:rFonts w:ascii="Arial" w:hAnsi="Arial" w:cs="Arial"/>
                                  <w:color w:val="000000"/>
                                  <w:sz w:val="23"/>
                                  <w:szCs w:val="23"/>
                                </w:rPr>
                                <w:t xml:space="preserve"> boats should remain on the Starboard side of the Small Boat Channel and should adjust their speed to remain within the Small Boat Channel rather than overtake other craft and be forced into the main channel.</w:t>
                              </w:r>
                            </w:p>
                            <w:p w14:paraId="5EF58DB0" w14:textId="77777777" w:rsidR="0006136B" w:rsidRDefault="0006136B">
                              <w:pPr>
                                <w:pStyle w:val="NormalWeb"/>
                                <w:spacing w:line="312" w:lineRule="auto"/>
                                <w:rPr>
                                  <w:rFonts w:ascii="Arial" w:hAnsi="Arial" w:cs="Arial"/>
                                  <w:color w:val="000000"/>
                                  <w:sz w:val="23"/>
                                  <w:szCs w:val="23"/>
                                </w:rPr>
                              </w:pPr>
                              <w:proofErr w:type="spellStart"/>
                              <w:r>
                                <w:rPr>
                                  <w:rFonts w:ascii="Arial" w:hAnsi="Arial" w:cs="Arial"/>
                                  <w:color w:val="000000"/>
                                  <w:sz w:val="23"/>
                                  <w:szCs w:val="23"/>
                                </w:rPr>
                                <w:t>i</w:t>
                              </w:r>
                              <w:proofErr w:type="spellEnd"/>
                              <w:r>
                                <w:rPr>
                                  <w:rFonts w:ascii="Arial" w:hAnsi="Arial" w:cs="Arial"/>
                                  <w:color w:val="000000"/>
                                  <w:sz w:val="23"/>
                                  <w:szCs w:val="23"/>
                                </w:rPr>
                                <w:t>. All vessels using the Small Boat Channel are to leave 4 Bar Buoy to port, whether heading inbound or outbound.</w:t>
                              </w:r>
                            </w:p>
                            <w:p w14:paraId="0D49733B"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t xml:space="preserve">j. In vicinity of BC Outer (red beacon), all vessels are to pass to the east of the beacon except those joining or leaving the Small Boat Channel at the Inner </w:t>
                              </w:r>
                              <w:proofErr w:type="spellStart"/>
                              <w:r>
                                <w:rPr>
                                  <w:rFonts w:ascii="Arial" w:hAnsi="Arial" w:cs="Arial"/>
                                  <w:color w:val="000000"/>
                                  <w:sz w:val="23"/>
                                  <w:szCs w:val="23"/>
                                </w:rPr>
                                <w:t>Swashway</w:t>
                              </w:r>
                              <w:proofErr w:type="spellEnd"/>
                              <w:r>
                                <w:rPr>
                                  <w:rFonts w:ascii="Arial" w:hAnsi="Arial" w:cs="Arial"/>
                                  <w:color w:val="000000"/>
                                  <w:sz w:val="23"/>
                                  <w:szCs w:val="23"/>
                                </w:rPr>
                                <w:t xml:space="preserve"> who are to leave it to port. This area can become extremely busy, particularly during the summer months, and mariners joining here should converge with caution and avoid forcing others out into the middle of the harbour entrance. Similarly, all mariners should be alert to strong cross currents in this area which can sweep vessels into the main channel.</w:t>
                              </w:r>
                            </w:p>
                            <w:p w14:paraId="55D64D30" w14:textId="23331FB9" w:rsidR="0006136B" w:rsidRDefault="0006136B">
                              <w:pPr>
                                <w:pStyle w:val="NormalWeb"/>
                                <w:spacing w:line="312" w:lineRule="auto"/>
                                <w:rPr>
                                  <w:rFonts w:ascii="Arial" w:hAnsi="Arial" w:cs="Arial"/>
                                  <w:color w:val="000000"/>
                                  <w:sz w:val="23"/>
                                  <w:szCs w:val="23"/>
                                </w:rPr>
                              </w:pPr>
                              <w:r>
                                <w:rPr>
                                  <w:rFonts w:ascii="Arial" w:hAnsi="Arial" w:cs="Arial"/>
                                  <w:noProof/>
                                  <w:color w:val="000000"/>
                                  <w:sz w:val="23"/>
                                  <w:szCs w:val="23"/>
                                </w:rPr>
                                <w:lastRenderedPageBreak/>
                                <mc:AlternateContent>
                                  <mc:Choice Requires="wps">
                                    <w:drawing>
                                      <wp:inline distT="0" distB="0" distL="0" distR="0" wp14:anchorId="6756A0F0" wp14:editId="618AC1A1">
                                        <wp:extent cx="6096000" cy="412115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12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85A96" id="Rectangle 3" o:spid="_x0000_s1026" style="width:480pt;height: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" filled="f" stroked="f">
                                        <o:lock v:ext="edit" aspectratio="t"/>
                                        <w10:anchorlock/>
                                      </v:rect>
                                    </w:pict>
                                  </mc:Fallback>
                                </mc:AlternateContent>
                              </w:r>
                            </w:p>
                            <w:p w14:paraId="195C1177"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t>4. Vessels approaching or departing the Small Boat Channel to the south, particularly at low water, should follow the line of the port lateral buoys in order to avoid grounding on the south-east corner of Hamilton Bank, turning to follow the line of the channel in the vicinity of 4 Bar Buoy.</w:t>
                              </w:r>
                              <w:r>
                                <w:rPr>
                                  <w:rFonts w:ascii="Arial" w:hAnsi="Arial" w:cs="Arial"/>
                                  <w:color w:val="000000"/>
                                  <w:sz w:val="23"/>
                                  <w:szCs w:val="23"/>
                                </w:rPr>
                                <w:br/>
                              </w:r>
                              <w:r>
                                <w:rPr>
                                  <w:rFonts w:ascii="Arial" w:hAnsi="Arial" w:cs="Arial"/>
                                  <w:color w:val="000000"/>
                                  <w:sz w:val="23"/>
                                  <w:szCs w:val="23"/>
                                </w:rPr>
                                <w:br/>
                                <w:t xml:space="preserve">5. The following vessels under 20 metres in length are authorised to use the main channel and loiter in the Small Boat Channel when their duties require; pilot boats, police </w:t>
                              </w:r>
                              <w:proofErr w:type="gramStart"/>
                              <w:r>
                                <w:rPr>
                                  <w:rFonts w:ascii="Arial" w:hAnsi="Arial" w:cs="Arial"/>
                                  <w:color w:val="000000"/>
                                  <w:sz w:val="23"/>
                                  <w:szCs w:val="23"/>
                                </w:rPr>
                                <w:t>launches</w:t>
                              </w:r>
                              <w:proofErr w:type="gramEnd"/>
                              <w:r>
                                <w:rPr>
                                  <w:rFonts w:ascii="Arial" w:hAnsi="Arial" w:cs="Arial"/>
                                  <w:color w:val="000000"/>
                                  <w:sz w:val="23"/>
                                  <w:szCs w:val="23"/>
                                </w:rPr>
                                <w:t>, QHM Harbour Patrol launches, Border Force craft, Royal Naval vessels, lifeboats, senior officers’ boats flying official flags or discs and tugs engaged in towing operations or escorting a vessel.</w:t>
                              </w:r>
                              <w:r>
                                <w:rPr>
                                  <w:rFonts w:ascii="Arial" w:hAnsi="Arial" w:cs="Arial"/>
                                  <w:color w:val="000000"/>
                                  <w:sz w:val="23"/>
                                  <w:szCs w:val="23"/>
                                </w:rPr>
                                <w:br/>
                              </w:r>
                              <w:r>
                                <w:rPr>
                                  <w:rFonts w:ascii="Arial" w:hAnsi="Arial" w:cs="Arial"/>
                                  <w:color w:val="000000"/>
                                  <w:sz w:val="23"/>
                                  <w:szCs w:val="23"/>
                                </w:rPr>
                                <w:br/>
                                <w:t>6. Small boats may continue to use the Small Boat Channel when the main channel is closed for the passage of a large vessel other than a Queen Elizabeth Class (QEC) Aircraft Carrier. The Small Boat Channel will be shut to all traffic during QEC transits.</w:t>
                              </w:r>
                              <w:r>
                                <w:rPr>
                                  <w:rFonts w:ascii="Arial" w:hAnsi="Arial" w:cs="Arial"/>
                                  <w:color w:val="000000"/>
                                  <w:sz w:val="23"/>
                                  <w:szCs w:val="23"/>
                                </w:rPr>
                                <w:br/>
                              </w:r>
                              <w:r>
                                <w:rPr>
                                  <w:rFonts w:ascii="Arial" w:hAnsi="Arial" w:cs="Arial"/>
                                  <w:color w:val="000000"/>
                                  <w:sz w:val="23"/>
                                  <w:szCs w:val="23"/>
                                </w:rPr>
                                <w:br/>
                                <w:t xml:space="preserve">7. </w:t>
                              </w:r>
                              <w:r>
                                <w:rPr>
                                  <w:rFonts w:ascii="Arial" w:hAnsi="Arial" w:cs="Arial"/>
                                  <w:color w:val="000000"/>
                                  <w:sz w:val="23"/>
                                  <w:szCs w:val="23"/>
                                  <w:u w:val="single"/>
                                </w:rPr>
                                <w:t>Personal Watercraft</w:t>
                              </w:r>
                              <w:r>
                                <w:rPr>
                                  <w:rFonts w:ascii="Arial" w:hAnsi="Arial" w:cs="Arial"/>
                                  <w:color w:val="000000"/>
                                  <w:sz w:val="23"/>
                                  <w:szCs w:val="23"/>
                                </w:rPr>
                                <w:t xml:space="preserve">. PWC of all descriptions are prohibited from entering or operating in the Town Camber, (defined by the purple pecked “no anchoring or fishing” line shown on Admiralty Chart 2629 joining the entrance to Gunwharf Quays and The Point) save with the permission in writing of QHM who will consult </w:t>
                              </w:r>
                              <w:r>
                                <w:rPr>
                                  <w:rFonts w:ascii="Arial" w:hAnsi="Arial" w:cs="Arial"/>
                                  <w:color w:val="000000"/>
                                  <w:sz w:val="23"/>
                                  <w:szCs w:val="23"/>
                                </w:rPr>
                                <w:lastRenderedPageBreak/>
                                <w:t>with Portsmouth International Port who are the Statutory Harbour Authority for this area.</w:t>
                              </w:r>
                              <w:r>
                                <w:rPr>
                                  <w:rFonts w:ascii="Arial" w:hAnsi="Arial" w:cs="Arial"/>
                                  <w:color w:val="000000"/>
                                  <w:sz w:val="23"/>
                                  <w:szCs w:val="23"/>
                                </w:rPr>
                                <w:br/>
                              </w:r>
                              <w:r>
                                <w:rPr>
                                  <w:rFonts w:ascii="Arial" w:hAnsi="Arial" w:cs="Arial"/>
                                  <w:color w:val="000000"/>
                                  <w:sz w:val="23"/>
                                  <w:szCs w:val="23"/>
                                </w:rPr>
                                <w:br/>
                                <w:t xml:space="preserve">8. </w:t>
                              </w:r>
                              <w:r>
                                <w:rPr>
                                  <w:rFonts w:ascii="Arial" w:hAnsi="Arial" w:cs="Arial"/>
                                  <w:color w:val="000000"/>
                                  <w:sz w:val="23"/>
                                  <w:szCs w:val="23"/>
                                  <w:u w:val="single"/>
                                </w:rPr>
                                <w:t>Gunwharf Quays/Town Camber - Traffic Management</w:t>
                              </w:r>
                              <w:r>
                                <w:rPr>
                                  <w:rFonts w:ascii="Arial" w:hAnsi="Arial" w:cs="Arial"/>
                                  <w:color w:val="000000"/>
                                  <w:sz w:val="23"/>
                                  <w:szCs w:val="23"/>
                                </w:rPr>
                                <w:t>. The following traffic management plan for craft under 20 metres in length (bound to/from Town Camber/Gunwharf Quays) is in force:</w:t>
                              </w:r>
                              <w:r>
                                <w:rPr>
                                  <w:rFonts w:ascii="Arial" w:hAnsi="Arial" w:cs="Arial"/>
                                  <w:color w:val="000000"/>
                                  <w:sz w:val="23"/>
                                  <w:szCs w:val="23"/>
                                </w:rPr>
                                <w:br/>
                              </w:r>
                              <w:r>
                                <w:rPr>
                                  <w:rFonts w:ascii="Arial" w:hAnsi="Arial" w:cs="Arial"/>
                                  <w:color w:val="000000"/>
                                  <w:sz w:val="23"/>
                                  <w:szCs w:val="23"/>
                                </w:rPr>
                                <w:br/>
                                <w:t xml:space="preserve">a. </w:t>
                              </w:r>
                              <w:r>
                                <w:rPr>
                                  <w:rFonts w:ascii="Arial" w:hAnsi="Arial" w:cs="Arial"/>
                                  <w:color w:val="000000"/>
                                  <w:sz w:val="23"/>
                                  <w:szCs w:val="23"/>
                                  <w:u w:val="single"/>
                                </w:rPr>
                                <w:t>Arrival</w:t>
                              </w:r>
                              <w:r>
                                <w:rPr>
                                  <w:rFonts w:ascii="Arial" w:hAnsi="Arial" w:cs="Arial"/>
                                  <w:color w:val="000000"/>
                                  <w:sz w:val="23"/>
                                  <w:szCs w:val="23"/>
                                </w:rPr>
                                <w:t>. In the interest of safety all Small Boats bound for Gunwharf Quays/Town Camber are to enter harbour through the Small Boat Channel. Vessels are only to cross the main channel when they are to the north of Ballast Pile, and permission has been obtained from QHM on VHF Channel 11. Vessels fitted with engines are to use them from entering the Small Boat Channel until arrival at Gunwharf Quays/Town Camber.</w:t>
                              </w:r>
                              <w:r>
                                <w:rPr>
                                  <w:rFonts w:ascii="Arial" w:hAnsi="Arial" w:cs="Arial"/>
                                  <w:color w:val="000000"/>
                                  <w:sz w:val="23"/>
                                  <w:szCs w:val="23"/>
                                </w:rPr>
                                <w:br/>
                              </w:r>
                              <w:r>
                                <w:rPr>
                                  <w:rFonts w:ascii="Arial" w:hAnsi="Arial" w:cs="Arial"/>
                                  <w:color w:val="000000"/>
                                  <w:sz w:val="23"/>
                                  <w:szCs w:val="23"/>
                                </w:rPr>
                                <w:br/>
                                <w:t xml:space="preserve">b. </w:t>
                              </w:r>
                              <w:r>
                                <w:rPr>
                                  <w:rFonts w:ascii="Arial" w:hAnsi="Arial" w:cs="Arial"/>
                                  <w:color w:val="000000"/>
                                  <w:sz w:val="23"/>
                                  <w:szCs w:val="23"/>
                                  <w:u w:val="single"/>
                                </w:rPr>
                                <w:t>Departure</w:t>
                              </w:r>
                              <w:r>
                                <w:rPr>
                                  <w:rFonts w:ascii="Arial" w:hAnsi="Arial" w:cs="Arial"/>
                                  <w:color w:val="000000"/>
                                  <w:sz w:val="23"/>
                                  <w:szCs w:val="23"/>
                                </w:rPr>
                                <w:t>. Small boats departing from Gunwharf Quays and the Town Camber are to obtain permission from QHM on VHF Channel 11 before crossing the main channel. All vessels are then to cross the main channel direct to Ballast Pile and leave harbour through the Small Boat Channel. Vessels fitted with engines are to use them until exiting the Small Boat Channel. If any of these vessels are not fitted with VHF radio, fixed or portable, then they are to be escorted by a marshalling craft or accompany another vessel so fitted.</w:t>
                              </w:r>
                              <w:r>
                                <w:rPr>
                                  <w:rFonts w:ascii="Arial" w:hAnsi="Arial" w:cs="Arial"/>
                                  <w:color w:val="000000"/>
                                  <w:sz w:val="23"/>
                                  <w:szCs w:val="23"/>
                                </w:rPr>
                                <w:br/>
                              </w:r>
                              <w:r>
                                <w:rPr>
                                  <w:rFonts w:ascii="Arial" w:hAnsi="Arial" w:cs="Arial"/>
                                  <w:color w:val="000000"/>
                                  <w:sz w:val="23"/>
                                  <w:szCs w:val="23"/>
                                </w:rPr>
                                <w:br/>
                                <w:t>c. Fishing vessels under 20 metres in length based in the Town Camber may enter and leave the harbour close inshore on the eastern side. They are nonetheless still to request approval to proceed from QHM on VHF Channel 11, giving their intended route.</w:t>
                              </w:r>
                              <w:r>
                                <w:rPr>
                                  <w:rFonts w:ascii="Arial" w:hAnsi="Arial" w:cs="Arial"/>
                                  <w:color w:val="000000"/>
                                  <w:sz w:val="23"/>
                                  <w:szCs w:val="23"/>
                                </w:rPr>
                                <w:br/>
                              </w:r>
                              <w:r>
                                <w:rPr>
                                  <w:rFonts w:ascii="Arial" w:hAnsi="Arial" w:cs="Arial"/>
                                  <w:color w:val="000000"/>
                                  <w:sz w:val="23"/>
                                  <w:szCs w:val="23"/>
                                </w:rPr>
                                <w:br/>
                                <w:t>d. Mariners are advised that visitor berths at Gunwharf Quays should be booked in advance prior to requesting to cross the harbour. Marina Guest Services can be contacted on VHF Ch80, by phone 02392 836732.</w:t>
                              </w:r>
                              <w:r>
                                <w:rPr>
                                  <w:rFonts w:ascii="Arial" w:hAnsi="Arial" w:cs="Arial"/>
                                  <w:color w:val="000000"/>
                                  <w:sz w:val="23"/>
                                  <w:szCs w:val="23"/>
                                </w:rPr>
                                <w:br/>
                              </w:r>
                              <w:r>
                                <w:rPr>
                                  <w:rFonts w:ascii="Arial" w:hAnsi="Arial" w:cs="Arial"/>
                                  <w:color w:val="000000"/>
                                  <w:sz w:val="23"/>
                                  <w:szCs w:val="23"/>
                                </w:rPr>
                                <w:br/>
                                <w:t xml:space="preserve">9. </w:t>
                              </w:r>
                              <w:proofErr w:type="spellStart"/>
                              <w:r>
                                <w:rPr>
                                  <w:rFonts w:ascii="Arial" w:hAnsi="Arial" w:cs="Arial"/>
                                  <w:color w:val="000000"/>
                                  <w:sz w:val="23"/>
                                  <w:szCs w:val="23"/>
                                  <w:u w:val="single"/>
                                </w:rPr>
                                <w:t>Swashway</w:t>
                              </w:r>
                              <w:proofErr w:type="spellEnd"/>
                              <w:r>
                                <w:rPr>
                                  <w:rFonts w:ascii="Arial" w:hAnsi="Arial" w:cs="Arial"/>
                                  <w:color w:val="000000"/>
                                  <w:sz w:val="23"/>
                                  <w:szCs w:val="23"/>
                                </w:rPr>
                                <w:t xml:space="preserve">. The </w:t>
                              </w:r>
                              <w:proofErr w:type="spellStart"/>
                              <w:r>
                                <w:rPr>
                                  <w:rFonts w:ascii="Arial" w:hAnsi="Arial" w:cs="Arial"/>
                                  <w:color w:val="000000"/>
                                  <w:sz w:val="23"/>
                                  <w:szCs w:val="23"/>
                                </w:rPr>
                                <w:t>Swashway</w:t>
                              </w:r>
                              <w:proofErr w:type="spellEnd"/>
                              <w:r>
                                <w:rPr>
                                  <w:rFonts w:ascii="Arial" w:hAnsi="Arial" w:cs="Arial"/>
                                  <w:color w:val="000000"/>
                                  <w:sz w:val="23"/>
                                  <w:szCs w:val="23"/>
                                </w:rPr>
                                <w:t xml:space="preserve"> is an important channel for shallow draught vessels approaching and leaving Portsmouth Harbour. Hovercraft and high-speed catamaran ferries often transit the area </w:t>
                              </w:r>
                              <w:proofErr w:type="spellStart"/>
                              <w:r>
                                <w:rPr>
                                  <w:rFonts w:ascii="Arial" w:hAnsi="Arial" w:cs="Arial"/>
                                  <w:color w:val="000000"/>
                                  <w:sz w:val="23"/>
                                  <w:szCs w:val="23"/>
                                </w:rPr>
                                <w:t>en</w:t>
                              </w:r>
                              <w:proofErr w:type="spellEnd"/>
                              <w:r>
                                <w:rPr>
                                  <w:rFonts w:ascii="Arial" w:hAnsi="Arial" w:cs="Arial"/>
                                  <w:color w:val="000000"/>
                                  <w:sz w:val="23"/>
                                  <w:szCs w:val="23"/>
                                </w:rPr>
                                <w:t xml:space="preserve">-route to and from Ryde at speeds in excess of 24 knots. Hovercraft, being non-displacement craft usually navigate outside the </w:t>
                              </w:r>
                              <w:proofErr w:type="spellStart"/>
                              <w:r>
                                <w:rPr>
                                  <w:rFonts w:ascii="Arial" w:hAnsi="Arial" w:cs="Arial"/>
                                  <w:color w:val="000000"/>
                                  <w:sz w:val="23"/>
                                  <w:szCs w:val="23"/>
                                </w:rPr>
                                <w:t>Swashway</w:t>
                              </w:r>
                              <w:proofErr w:type="spellEnd"/>
                              <w:r>
                                <w:rPr>
                                  <w:rFonts w:ascii="Arial" w:hAnsi="Arial" w:cs="Arial"/>
                                  <w:color w:val="000000"/>
                                  <w:sz w:val="23"/>
                                  <w:szCs w:val="23"/>
                                </w:rPr>
                                <w:t xml:space="preserve"> in areas where depths are shallow. The </w:t>
                              </w:r>
                              <w:proofErr w:type="spellStart"/>
                              <w:r>
                                <w:rPr>
                                  <w:rFonts w:ascii="Arial" w:hAnsi="Arial" w:cs="Arial"/>
                                  <w:color w:val="000000"/>
                                  <w:sz w:val="23"/>
                                  <w:szCs w:val="23"/>
                                </w:rPr>
                                <w:t>Spitbank</w:t>
                              </w:r>
                              <w:proofErr w:type="spellEnd"/>
                              <w:r>
                                <w:rPr>
                                  <w:rFonts w:ascii="Arial" w:hAnsi="Arial" w:cs="Arial"/>
                                  <w:color w:val="000000"/>
                                  <w:sz w:val="23"/>
                                  <w:szCs w:val="23"/>
                                </w:rPr>
                                <w:t xml:space="preserve"> area, as a whole, is often used for yacht racing and regattas. Mariners in yachts and slow-moving craft are advised to maintain a thorough all-round lookout for the possible approach of high-speed ferries and other fast craft. Particular care needs to be taken to check the appropriate quarter before making an alteration of course. </w:t>
                              </w:r>
                              <w:r>
                                <w:rPr>
                                  <w:rFonts w:ascii="Arial" w:hAnsi="Arial" w:cs="Arial"/>
                                  <w:color w:val="000000"/>
                                  <w:sz w:val="23"/>
                                  <w:szCs w:val="23"/>
                                </w:rPr>
                                <w:lastRenderedPageBreak/>
                                <w:t>Mariners in high-speed craft are cautioned not to assume that other mariners, particularly those whom they are overtaking, are aware of their presence, and are to give them a sufficiently wide berth.</w:t>
                              </w:r>
                              <w:r>
                                <w:rPr>
                                  <w:rFonts w:ascii="Arial" w:hAnsi="Arial" w:cs="Arial"/>
                                  <w:color w:val="000000"/>
                                  <w:sz w:val="23"/>
                                  <w:szCs w:val="23"/>
                                </w:rPr>
                                <w:br/>
                              </w:r>
                              <w:r>
                                <w:rPr>
                                  <w:rFonts w:ascii="Arial" w:hAnsi="Arial" w:cs="Arial"/>
                                  <w:color w:val="000000"/>
                                  <w:sz w:val="23"/>
                                  <w:szCs w:val="23"/>
                                </w:rPr>
                                <w:br/>
                                <w:t xml:space="preserve">10. </w:t>
                              </w:r>
                              <w:r>
                                <w:rPr>
                                  <w:rFonts w:ascii="Arial" w:hAnsi="Arial" w:cs="Arial"/>
                                  <w:color w:val="000000"/>
                                  <w:sz w:val="23"/>
                                  <w:szCs w:val="23"/>
                                  <w:u w:val="single"/>
                                </w:rPr>
                                <w:t xml:space="preserve">Inner </w:t>
                              </w:r>
                              <w:proofErr w:type="spellStart"/>
                              <w:r>
                                <w:rPr>
                                  <w:rFonts w:ascii="Arial" w:hAnsi="Arial" w:cs="Arial"/>
                                  <w:color w:val="000000"/>
                                  <w:sz w:val="23"/>
                                  <w:szCs w:val="23"/>
                                  <w:u w:val="single"/>
                                </w:rPr>
                                <w:t>Swashway</w:t>
                              </w:r>
                              <w:proofErr w:type="spellEnd"/>
                              <w:r>
                                <w:rPr>
                                  <w:rFonts w:ascii="Arial" w:hAnsi="Arial" w:cs="Arial"/>
                                  <w:color w:val="000000"/>
                                  <w:sz w:val="23"/>
                                  <w:szCs w:val="23"/>
                                </w:rPr>
                                <w:t xml:space="preserve">. The Inner </w:t>
                              </w:r>
                              <w:proofErr w:type="spellStart"/>
                              <w:r>
                                <w:rPr>
                                  <w:rFonts w:ascii="Arial" w:hAnsi="Arial" w:cs="Arial"/>
                                  <w:color w:val="000000"/>
                                  <w:sz w:val="23"/>
                                  <w:szCs w:val="23"/>
                                </w:rPr>
                                <w:t>Swashway</w:t>
                              </w:r>
                              <w:proofErr w:type="spellEnd"/>
                              <w:r>
                                <w:rPr>
                                  <w:rFonts w:ascii="Arial" w:hAnsi="Arial" w:cs="Arial"/>
                                  <w:color w:val="000000"/>
                                  <w:sz w:val="23"/>
                                  <w:szCs w:val="23"/>
                                </w:rPr>
                                <w:t xml:space="preserve"> is closed to vessels of over 20m in length. Vessels over this size are to remain in the approach channel between the entrance to the Harbour and No 4 Bar Buoy. They should not enter the Small Boat Channel at any time except that they may do so when taking action to avoid collision under the COLREGS. The BC Outer red beacon is sited 100 yards to the south of Fort Blockhouse. Small boats transiting between the Inner </w:t>
                              </w:r>
                              <w:proofErr w:type="spellStart"/>
                              <w:r>
                                <w:rPr>
                                  <w:rFonts w:ascii="Arial" w:hAnsi="Arial" w:cs="Arial"/>
                                  <w:color w:val="000000"/>
                                  <w:sz w:val="23"/>
                                  <w:szCs w:val="23"/>
                                </w:rPr>
                                <w:t>Swashway</w:t>
                              </w:r>
                              <w:proofErr w:type="spellEnd"/>
                              <w:r>
                                <w:rPr>
                                  <w:rFonts w:ascii="Arial" w:hAnsi="Arial" w:cs="Arial"/>
                                  <w:color w:val="000000"/>
                                  <w:sz w:val="23"/>
                                  <w:szCs w:val="23"/>
                                </w:rPr>
                                <w:t xml:space="preserve"> and the Small Boat Channel are to leave this to </w:t>
                              </w:r>
                              <w:r>
                                <w:rPr>
                                  <w:rFonts w:ascii="Arial" w:hAnsi="Arial" w:cs="Arial"/>
                                  <w:color w:val="000000"/>
                                  <w:sz w:val="23"/>
                                  <w:szCs w:val="23"/>
                                  <w:u w:val="single"/>
                                </w:rPr>
                                <w:t>port</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t xml:space="preserve">11. </w:t>
                              </w:r>
                              <w:r>
                                <w:rPr>
                                  <w:rFonts w:ascii="Arial" w:hAnsi="Arial" w:cs="Arial"/>
                                  <w:color w:val="000000"/>
                                  <w:sz w:val="23"/>
                                  <w:szCs w:val="23"/>
                                  <w:u w:val="single"/>
                                </w:rPr>
                                <w:t>The Harbour Entrance</w:t>
                              </w:r>
                              <w:r>
                                <w:rPr>
                                  <w:rFonts w:ascii="Arial" w:hAnsi="Arial" w:cs="Arial"/>
                                  <w:color w:val="000000"/>
                                  <w:sz w:val="23"/>
                                  <w:szCs w:val="23"/>
                                </w:rPr>
                                <w:t>. Extra caution is to be taken in the harbour mouth to ensure that small boats are not swept into mid channel from the Small Boat Channel by the strong cross-tide which is often present.</w:t>
                              </w:r>
                              <w:r>
                                <w:rPr>
                                  <w:rFonts w:ascii="Arial" w:hAnsi="Arial" w:cs="Arial"/>
                                  <w:color w:val="000000"/>
                                  <w:sz w:val="23"/>
                                  <w:szCs w:val="23"/>
                                </w:rPr>
                                <w:br/>
                              </w:r>
                              <w:r>
                                <w:rPr>
                                  <w:rFonts w:ascii="Arial" w:hAnsi="Arial" w:cs="Arial"/>
                                  <w:color w:val="000000"/>
                                  <w:sz w:val="23"/>
                                  <w:szCs w:val="23"/>
                                </w:rPr>
                                <w:br/>
                                <w:t>12. Contravention of the rules contained within this General Direction is a criminal offence.</w:t>
                              </w:r>
                              <w:r>
                                <w:rPr>
                                  <w:rFonts w:ascii="Arial" w:hAnsi="Arial" w:cs="Arial"/>
                                  <w:color w:val="000000"/>
                                  <w:sz w:val="23"/>
                                  <w:szCs w:val="23"/>
                                </w:rPr>
                                <w:br/>
                              </w:r>
                              <w:r>
                                <w:rPr>
                                  <w:rFonts w:ascii="Arial" w:hAnsi="Arial" w:cs="Arial"/>
                                  <w:color w:val="000000"/>
                                  <w:sz w:val="23"/>
                                  <w:szCs w:val="23"/>
                                </w:rPr>
                                <w:br/>
                                <w:t>13. Cancel General Direction 01/21.</w:t>
                              </w:r>
                            </w:p>
                            <w:p w14:paraId="7C16D2B3" w14:textId="77777777" w:rsidR="0006136B" w:rsidRDefault="0006136B">
                              <w:pPr>
                                <w:pStyle w:val="NormalWeb"/>
                                <w:spacing w:line="312" w:lineRule="auto"/>
                                <w:rPr>
                                  <w:rFonts w:ascii="Arial" w:hAnsi="Arial" w:cs="Arial"/>
                                  <w:color w:val="000000"/>
                                  <w:sz w:val="23"/>
                                  <w:szCs w:val="23"/>
                                </w:rPr>
                              </w:pPr>
                              <w:r>
                                <w:rPr>
                                  <w:rFonts w:ascii="Arial" w:hAnsi="Arial" w:cs="Arial"/>
                                  <w:color w:val="000000"/>
                                  <w:sz w:val="23"/>
                                  <w:szCs w:val="23"/>
                                </w:rPr>
                                <w:t> </w:t>
                              </w:r>
                            </w:p>
                            <w:p w14:paraId="129E2061" w14:textId="77777777" w:rsidR="0006136B" w:rsidRDefault="0006136B">
                              <w:pPr>
                                <w:pStyle w:val="NormalWeb"/>
                                <w:spacing w:line="312" w:lineRule="auto"/>
                                <w:rPr>
                                  <w:rFonts w:ascii="Arial" w:hAnsi="Arial" w:cs="Arial"/>
                                  <w:color w:val="000000"/>
                                  <w:sz w:val="23"/>
                                  <w:szCs w:val="23"/>
                                </w:rPr>
                              </w:pPr>
                              <w:hyperlink r:id="rId8" w:tgtFrame="_blank" w:history="1">
                                <w:r>
                                  <w:rPr>
                                    <w:rStyle w:val="Hyperlink"/>
                                    <w:rFonts w:ascii="Arial" w:hAnsi="Arial" w:cs="Arial"/>
                                    <w:sz w:val="23"/>
                                    <w:szCs w:val="23"/>
                                  </w:rPr>
                                  <w:t>View notice online</w:t>
                                </w:r>
                              </w:hyperlink>
                            </w:p>
                          </w:tc>
                        </w:tr>
                        <w:tr w:rsidR="0006136B" w14:paraId="0E86782A" w14:textId="77777777">
                          <w:tc>
                            <w:tcPr>
                              <w:tcW w:w="0" w:type="auto"/>
                              <w:hideMark/>
                            </w:tcPr>
                            <w:p w14:paraId="3D234E7A" w14:textId="04A8B6D7" w:rsidR="0006136B" w:rsidRDefault="0006136B">
                              <w:pPr>
                                <w:jc w:val="center"/>
                                <w:rPr>
                                  <w:rFonts w:ascii="Arial" w:eastAsia="Times New Roman" w:hAnsi="Arial" w:cs="Arial"/>
                                </w:rPr>
                              </w:pPr>
                              <w:r>
                                <w:rPr>
                                  <w:rFonts w:ascii="Arial" w:eastAsia="Times New Roman" w:hAnsi="Arial" w:cs="Arial"/>
                                  <w:noProof/>
                                </w:rPr>
                                <w:lastRenderedPageBreak/>
                                <w:drawing>
                                  <wp:inline distT="0" distB="0" distL="0" distR="0" wp14:anchorId="016901E4" wp14:editId="379FB327">
                                    <wp:extent cx="6350" cy="33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336550"/>
                                            </a:xfrm>
                                            <a:prstGeom prst="rect">
                                              <a:avLst/>
                                            </a:prstGeom>
                                            <a:noFill/>
                                            <a:ln>
                                              <a:noFill/>
                                            </a:ln>
                                          </pic:spPr>
                                        </pic:pic>
                                      </a:graphicData>
                                    </a:graphic>
                                  </wp:inline>
                                </w:drawing>
                              </w:r>
                            </w:p>
                          </w:tc>
                        </w:tr>
                      </w:tbl>
                      <w:p w14:paraId="57BC8E91" w14:textId="77777777" w:rsidR="0006136B" w:rsidRDefault="0006136B">
                        <w:pPr>
                          <w:rPr>
                            <w:rFonts w:ascii="Times New Roman" w:eastAsia="Times New Roman" w:hAnsi="Times New Roman" w:cs="Times New Roman"/>
                            <w:sz w:val="20"/>
                            <w:szCs w:val="20"/>
                          </w:rPr>
                        </w:pPr>
                      </w:p>
                    </w:tc>
                    <w:tc>
                      <w:tcPr>
                        <w:tcW w:w="375" w:type="dxa"/>
                        <w:hideMark/>
                      </w:tcPr>
                      <w:p w14:paraId="77B62A10" w14:textId="0FE1F0F2" w:rsidR="0006136B" w:rsidRDefault="0006136B">
                        <w:pPr>
                          <w:rPr>
                            <w:rFonts w:ascii="Arial" w:eastAsia="Times New Roman" w:hAnsi="Arial" w:cs="Arial"/>
                          </w:rPr>
                        </w:pPr>
                        <w:r>
                          <w:rPr>
                            <w:rFonts w:ascii="Arial" w:eastAsia="Times New Roman" w:hAnsi="Arial" w:cs="Arial"/>
                            <w:noProof/>
                          </w:rPr>
                          <w:lastRenderedPageBreak/>
                          <w:drawing>
                            <wp:inline distT="0" distB="0" distL="0" distR="0" wp14:anchorId="347A2E1E" wp14:editId="0ED4AC48">
                              <wp:extent cx="24130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r>
                </w:tbl>
                <w:p w14:paraId="0814E72D" w14:textId="77777777" w:rsidR="0006136B" w:rsidRDefault="0006136B">
                  <w:pPr>
                    <w:rPr>
                      <w:rFonts w:ascii="Times New Roman" w:eastAsia="Times New Roman" w:hAnsi="Times New Roman" w:cs="Times New Roman"/>
                      <w:sz w:val="20"/>
                      <w:szCs w:val="20"/>
                    </w:rPr>
                  </w:pPr>
                </w:p>
              </w:tc>
            </w:tr>
          </w:tbl>
          <w:p w14:paraId="71E3143F" w14:textId="77777777" w:rsidR="0006136B" w:rsidRDefault="0006136B">
            <w:pPr>
              <w:jc w:val="center"/>
              <w:rPr>
                <w:rFonts w:ascii="Times New Roman" w:eastAsia="Times New Roman" w:hAnsi="Times New Roman" w:cs="Times New Roman"/>
                <w:sz w:val="20"/>
                <w:szCs w:val="20"/>
              </w:rPr>
            </w:pPr>
          </w:p>
        </w:tc>
      </w:tr>
    </w:tbl>
    <w:p w14:paraId="6A634D35" w14:textId="77777777" w:rsidR="0006136B" w:rsidRDefault="0006136B"/>
    <w:sectPr w:rsidR="00061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6B"/>
    <w:rsid w:val="00061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FFED"/>
  <w15:chartTrackingRefBased/>
  <w15:docId w15:val="{4B96693F-27EC-457D-8F91-468EF9EC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36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36B"/>
    <w:rPr>
      <w:color w:val="000000"/>
      <w:u w:val="single"/>
    </w:rPr>
  </w:style>
  <w:style w:type="paragraph" w:styleId="NormalWeb">
    <w:name w:val="Normal (Web)"/>
    <w:basedOn w:val="Normal"/>
    <w:uiPriority w:val="99"/>
    <w:semiHidden/>
    <w:unhideWhenUsed/>
    <w:rsid w:val="0006136B"/>
    <w:pPr>
      <w:spacing w:before="100" w:beforeAutospacing="1" w:after="100" w:afterAutospacing="1"/>
    </w:pPr>
  </w:style>
  <w:style w:type="character" w:styleId="Strong">
    <w:name w:val="Strong"/>
    <w:basedOn w:val="DefaultParagraphFont"/>
    <w:uiPriority w:val="22"/>
    <w:qFormat/>
    <w:rsid w:val="0006136B"/>
    <w:rPr>
      <w:b/>
      <w:bCs/>
    </w:rPr>
  </w:style>
  <w:style w:type="character" w:styleId="Emphasis">
    <w:name w:val="Emphasis"/>
    <w:basedOn w:val="DefaultParagraphFont"/>
    <w:uiPriority w:val="20"/>
    <w:qFormat/>
    <w:rsid w:val="00061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navy.mod.uk/QHM/Portsmouth/Local-Notices/General-Directions/2021/2102-PTSMTH-HBR-ENT-APPROACH-CHANNEL-SMALL-BOAT-CHANNEL-SWASHWAY-AND-INNER-SWASHWAY"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royalnavy.mod.uk/"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Mason</dc:creator>
  <cp:keywords/>
  <dc:description/>
  <cp:lastModifiedBy>Mike Mason</cp:lastModifiedBy>
  <cp:revision>1</cp:revision>
  <dcterms:created xsi:type="dcterms:W3CDTF">2021-07-01T09:56:00Z</dcterms:created>
  <dcterms:modified xsi:type="dcterms:W3CDTF">2021-07-01T09:57:00Z</dcterms:modified>
</cp:coreProperties>
</file>